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B5" w:rsidRPr="00E64244" w:rsidRDefault="006138A0" w:rsidP="00E64244">
      <w:pPr>
        <w:jc w:val="center"/>
        <w:rPr>
          <w:rFonts w:ascii="Times New Roman" w:hAnsi="Times New Roman"/>
          <w:noProof/>
          <w:sz w:val="28"/>
          <w:szCs w:val="24"/>
          <w:lang w:val="sr-Cyrl-RS" w:eastAsia="sr-Latn-RS"/>
        </w:rPr>
      </w:pPr>
      <w:r w:rsidRPr="00E64244">
        <w:rPr>
          <w:rFonts w:ascii="Times New Roman" w:hAnsi="Times New Roman"/>
          <w:noProof/>
          <w:sz w:val="28"/>
          <w:szCs w:val="24"/>
          <w:lang w:val="sr-Cyrl-RS" w:eastAsia="sr-Latn-RS"/>
        </w:rPr>
        <w:t>САОПШТЕЊЕ УДРУЖЕЊА СУДИЈА ПРЕКРШАЈНИХ СУДОВА ПОВОДОМ ГОДИНУ ДАНА ПРИМЕНЕ ЗАКОНА О ПРЕКРШАЈИМА</w:t>
      </w:r>
    </w:p>
    <w:p w:rsidR="006138A0" w:rsidRPr="00E64244" w:rsidRDefault="006138A0" w:rsidP="00E64244">
      <w:pPr>
        <w:jc w:val="both"/>
        <w:rPr>
          <w:rFonts w:ascii="Times New Roman" w:hAnsi="Times New Roman"/>
          <w:noProof/>
          <w:sz w:val="28"/>
          <w:szCs w:val="24"/>
          <w:lang w:val="sr-Cyrl-RS" w:eastAsia="sr-Latn-RS"/>
        </w:rPr>
      </w:pPr>
    </w:p>
    <w:p w:rsidR="006138A0" w:rsidRPr="00E64244" w:rsidRDefault="006138A0" w:rsidP="00E64244">
      <w:pPr>
        <w:jc w:val="both"/>
        <w:rPr>
          <w:rFonts w:ascii="Times New Roman" w:hAnsi="Times New Roman"/>
          <w:noProof/>
          <w:sz w:val="28"/>
          <w:szCs w:val="24"/>
          <w:lang w:val="sr-Cyrl-RS" w:eastAsia="sr-Latn-RS"/>
        </w:rPr>
      </w:pPr>
      <w:r w:rsidRPr="00E64244">
        <w:rPr>
          <w:rFonts w:ascii="Times New Roman" w:hAnsi="Times New Roman"/>
          <w:noProof/>
          <w:sz w:val="28"/>
          <w:szCs w:val="24"/>
          <w:lang w:val="sr-Cyrl-RS" w:eastAsia="sr-Latn-RS"/>
        </w:rPr>
        <w:t xml:space="preserve">Од 1. Марта 2014. , односно од почетка примене новог ЗОПа, само пред дежурне судије је приведено oko 14.000 хиљада лица, која су на лицу места осуђена и којима су наплаћене новчане казне у износу од око 160 милиона динара, изречено им је 12.000 месеци забране вожње, па се може рећи да је тим лицима забрањено да управљају моторним возилима наредних 900 година, а један број лица је поред ових санкција осуђен и на издржавање казне затвора у трајању од 15.000 дана односно на 41 годину затвора. Што је мање од 10% од укупног броја почињених прекршаја у Србији, који су свој епилог нашли пред судовима, само у </w:t>
      </w:r>
      <w:r w:rsidR="00E64244">
        <w:rPr>
          <w:rFonts w:ascii="Times New Roman" w:hAnsi="Times New Roman"/>
          <w:noProof/>
          <w:sz w:val="28"/>
          <w:szCs w:val="24"/>
          <w:lang w:val="sr-Cyrl-RS" w:eastAsia="sr-Latn-RS"/>
        </w:rPr>
        <w:t>протеклој</w:t>
      </w:r>
      <w:r w:rsidRPr="00E64244">
        <w:rPr>
          <w:rFonts w:ascii="Times New Roman" w:hAnsi="Times New Roman"/>
          <w:noProof/>
          <w:sz w:val="28"/>
          <w:szCs w:val="24"/>
          <w:lang w:val="sr-Cyrl-RS" w:eastAsia="sr-Latn-RS"/>
        </w:rPr>
        <w:t xml:space="preserve"> години.</w:t>
      </w:r>
    </w:p>
    <w:p w:rsidR="006138A0" w:rsidRPr="00E64244" w:rsidRDefault="006138A0" w:rsidP="00E64244">
      <w:pPr>
        <w:jc w:val="both"/>
        <w:rPr>
          <w:rFonts w:ascii="Times New Roman" w:hAnsi="Times New Roman"/>
          <w:noProof/>
          <w:sz w:val="28"/>
          <w:szCs w:val="24"/>
          <w:lang w:val="sr-Cyrl-RS" w:eastAsia="sr-Latn-RS"/>
        </w:rPr>
      </w:pPr>
      <w:r w:rsidRPr="00E64244">
        <w:rPr>
          <w:rFonts w:ascii="Times New Roman" w:hAnsi="Times New Roman"/>
          <w:noProof/>
          <w:sz w:val="28"/>
          <w:szCs w:val="24"/>
          <w:lang w:val="sr-Cyrl-RS" w:eastAsia="sr-Latn-RS"/>
        </w:rPr>
        <w:t>Важно је рећи да се овакве и друге анализе и статистике до сада нису радиле на овакав начин јер нису постојале техничке могућности, због милионског броја предмета, али од ове године успостављен je и нови информациони систем прекршајних судова (СИПРЕС), који укључује и програм за вођење јединствених регистара на нивоу целе</w:t>
      </w:r>
      <w:r w:rsidR="00E64244">
        <w:rPr>
          <w:rFonts w:ascii="Times New Roman" w:hAnsi="Times New Roman"/>
          <w:noProof/>
          <w:sz w:val="28"/>
          <w:szCs w:val="24"/>
          <w:lang w:val="sr-Cyrl-RS" w:eastAsia="sr-Latn-RS"/>
        </w:rPr>
        <w:t xml:space="preserve"> Републике</w:t>
      </w:r>
      <w:r w:rsidRPr="00E64244">
        <w:rPr>
          <w:rFonts w:ascii="Times New Roman" w:hAnsi="Times New Roman"/>
          <w:noProof/>
          <w:sz w:val="28"/>
          <w:szCs w:val="24"/>
          <w:lang w:val="sr-Cyrl-RS" w:eastAsia="sr-Latn-RS"/>
        </w:rPr>
        <w:t xml:space="preserve"> Србије и један од његових задатака је да обезбеди прецизну евиденцију кажњених лица и изречених казни, а протеком времена и количином унетих података моћи ће да се израђују озбиљне анализе које би нам прецизно указале на критичне тачке на које треба обратити посебну пажњу код доношења других закона или измена постојећих, како би се повећала сигурност грађана, без обзира да ли се ради о општој безбедности, односно нарушавању јавног реда и мира, робној и финансијској сигурности или о безбедности учесника у саобраћају, а самим тим, цео систем прекршајног правосуђа биће још ефикаснији у заштити грађана.</w:t>
      </w:r>
    </w:p>
    <w:p w:rsidR="006138A0" w:rsidRPr="00E64244" w:rsidRDefault="006138A0" w:rsidP="00E64244">
      <w:pPr>
        <w:jc w:val="both"/>
        <w:rPr>
          <w:rFonts w:ascii="Times New Roman" w:hAnsi="Times New Roman"/>
          <w:noProof/>
          <w:sz w:val="28"/>
          <w:szCs w:val="24"/>
          <w:lang w:val="sr-Cyrl-RS" w:eastAsia="sr-Latn-RS"/>
        </w:rPr>
      </w:pPr>
    </w:p>
    <w:p w:rsidR="006138A0" w:rsidRPr="00E64244" w:rsidRDefault="006138A0" w:rsidP="00E64244">
      <w:pPr>
        <w:jc w:val="both"/>
        <w:rPr>
          <w:rFonts w:ascii="Times New Roman" w:hAnsi="Times New Roman"/>
          <w:noProof/>
          <w:sz w:val="28"/>
          <w:szCs w:val="24"/>
          <w:lang w:val="sr-Cyrl-RS" w:eastAsia="sr-Latn-RS"/>
        </w:rPr>
      </w:pPr>
      <w:r w:rsidRPr="00E64244">
        <w:rPr>
          <w:rFonts w:ascii="Times New Roman" w:hAnsi="Times New Roman"/>
          <w:noProof/>
          <w:sz w:val="28"/>
          <w:szCs w:val="24"/>
          <w:lang w:val="sr-Cyrl-RS" w:eastAsia="sr-Latn-RS"/>
        </w:rPr>
        <w:lastRenderedPageBreak/>
        <w:t>Током протеклог месеца завршени су одређени технички радови, којима је омогућено прикључивање прекршајном систему од стране других државних органа (попут Пореске управ</w:t>
      </w:r>
      <w:r w:rsidR="00E64244">
        <w:rPr>
          <w:rFonts w:ascii="Times New Roman" w:hAnsi="Times New Roman"/>
          <w:noProof/>
          <w:sz w:val="28"/>
          <w:szCs w:val="24"/>
          <w:lang w:val="sr-Cyrl-RS" w:eastAsia="sr-Latn-RS"/>
        </w:rPr>
        <w:t>е</w:t>
      </w:r>
      <w:r w:rsidRPr="00E64244">
        <w:rPr>
          <w:rFonts w:ascii="Times New Roman" w:hAnsi="Times New Roman"/>
          <w:noProof/>
          <w:sz w:val="28"/>
          <w:szCs w:val="24"/>
          <w:lang w:val="sr-Cyrl-RS" w:eastAsia="sr-Latn-RS"/>
        </w:rPr>
        <w:t>, Управе Царина итд.), а у првом реду Министарства унутрашњих послова, тако да вишеструки повратници неће више моћи да рачунају на олакшавајуће околности које се могу применити на лица која су из нехата или први пут починила неки лакши прекршај, већ ће сада судије али и полиција при вршењу својих задатака тачно знати да ли се ради о лицима која су више пута узастопно кажњавана и за који прекршај, а она лица која избегавају судске позиве, што је само по себи прекршај, биће одмах приве</w:t>
      </w:r>
      <w:r w:rsidR="00AD63CB">
        <w:rPr>
          <w:rFonts w:ascii="Times New Roman" w:hAnsi="Times New Roman"/>
          <w:noProof/>
          <w:sz w:val="28"/>
          <w:szCs w:val="24"/>
          <w:lang w:val="sr-Cyrl-RS" w:eastAsia="sr-Latn-RS"/>
        </w:rPr>
        <w:t>ђена</w:t>
      </w:r>
      <w:r w:rsidRPr="00E64244">
        <w:rPr>
          <w:rFonts w:ascii="Times New Roman" w:hAnsi="Times New Roman"/>
          <w:noProof/>
          <w:sz w:val="28"/>
          <w:szCs w:val="24"/>
          <w:lang w:val="sr-Cyrl-RS" w:eastAsia="sr-Latn-RS"/>
        </w:rPr>
        <w:t xml:space="preserve"> судији, јер је отклоњен велики број законских недостатака који је таквим људима омогућавао да чине прекршај за прекршајем, а да злоупотребом права избегавају правду.</w:t>
      </w:r>
    </w:p>
    <w:p w:rsidR="006138A0" w:rsidRPr="00E64244" w:rsidRDefault="006138A0" w:rsidP="00E64244">
      <w:pPr>
        <w:jc w:val="both"/>
        <w:rPr>
          <w:rFonts w:ascii="Times New Roman" w:hAnsi="Times New Roman"/>
          <w:noProof/>
          <w:sz w:val="28"/>
          <w:szCs w:val="24"/>
          <w:lang w:val="sr-Cyrl-RS" w:eastAsia="sr-Latn-RS"/>
        </w:rPr>
      </w:pPr>
      <w:r w:rsidRPr="00E64244">
        <w:rPr>
          <w:rFonts w:ascii="Times New Roman" w:hAnsi="Times New Roman"/>
          <w:noProof/>
          <w:sz w:val="28"/>
          <w:szCs w:val="24"/>
          <w:lang w:val="sr-Cyrl-RS" w:eastAsia="sr-Latn-RS"/>
        </w:rPr>
        <w:t>Ако је судити на основу изречених казни, наши грађани морају да мењају своју свест ако желе да буду безбедни, јер и поред најбољег Закона, статистика каже да би по један полицајац требало да буде на сваких 500 метара, а по један судија на сваких 5 километра, јер ни Закони, ни полиција, ни суд не служе да кажњавају грађане, већ да их штите</w:t>
      </w:r>
      <w:r w:rsidR="00AD63CB">
        <w:rPr>
          <w:rFonts w:ascii="Times New Roman" w:hAnsi="Times New Roman"/>
          <w:noProof/>
          <w:sz w:val="28"/>
          <w:szCs w:val="24"/>
          <w:lang w:val="sr-Cyrl-RS" w:eastAsia="sr-Latn-RS"/>
        </w:rPr>
        <w:t>.</w:t>
      </w:r>
    </w:p>
    <w:p w:rsidR="006138A0" w:rsidRDefault="002E665E" w:rsidP="00E64244">
      <w:pPr>
        <w:jc w:val="both"/>
        <w:rPr>
          <w:rFonts w:ascii="Times New Roman" w:hAnsi="Times New Roman"/>
          <w:noProof/>
          <w:sz w:val="28"/>
          <w:szCs w:val="24"/>
          <w:lang w:val="sr-Cyrl-RS" w:eastAsia="sr-Latn-RS"/>
        </w:rPr>
      </w:pPr>
      <w:r>
        <w:rPr>
          <w:rFonts w:ascii="Times New Roman" w:hAnsi="Times New Roman"/>
          <w:noProof/>
          <w:sz w:val="28"/>
          <w:szCs w:val="24"/>
          <w:lang w:val="sr-Cyrl-RS" w:eastAsia="sr-Latn-RS"/>
        </w:rPr>
        <w:t>Највећи напредак остварен</w:t>
      </w:r>
      <w:r w:rsidR="006138A0" w:rsidRPr="00E64244">
        <w:rPr>
          <w:rFonts w:ascii="Times New Roman" w:hAnsi="Times New Roman"/>
          <w:noProof/>
          <w:sz w:val="28"/>
          <w:szCs w:val="24"/>
          <w:lang w:val="sr-Cyrl-RS" w:eastAsia="sr-Latn-RS"/>
        </w:rPr>
        <w:t xml:space="preserve"> 2014. </w:t>
      </w:r>
      <w:r>
        <w:rPr>
          <w:rFonts w:ascii="Times New Roman" w:hAnsi="Times New Roman"/>
          <w:noProof/>
          <w:sz w:val="28"/>
          <w:szCs w:val="24"/>
          <w:lang w:val="sr-Cyrl-RS" w:eastAsia="sr-Latn-RS"/>
        </w:rPr>
        <w:t xml:space="preserve">године </w:t>
      </w:r>
      <w:r w:rsidR="006138A0" w:rsidRPr="00E64244">
        <w:rPr>
          <w:rFonts w:ascii="Times New Roman" w:hAnsi="Times New Roman"/>
          <w:noProof/>
          <w:sz w:val="28"/>
          <w:szCs w:val="24"/>
          <w:lang w:val="sr-Cyrl-RS" w:eastAsia="sr-Latn-RS"/>
        </w:rPr>
        <w:t xml:space="preserve">и </w:t>
      </w:r>
      <w:r>
        <w:rPr>
          <w:rFonts w:ascii="Times New Roman" w:hAnsi="Times New Roman"/>
          <w:noProof/>
          <w:sz w:val="28"/>
          <w:szCs w:val="24"/>
          <w:lang w:val="sr-Cyrl-RS" w:eastAsia="sr-Latn-RS"/>
        </w:rPr>
        <w:t xml:space="preserve">у </w:t>
      </w:r>
      <w:r w:rsidR="006138A0" w:rsidRPr="00E64244">
        <w:rPr>
          <w:rFonts w:ascii="Times New Roman" w:hAnsi="Times New Roman"/>
          <w:noProof/>
          <w:sz w:val="28"/>
          <w:szCs w:val="24"/>
          <w:lang w:val="sr-Cyrl-RS" w:eastAsia="sr-Latn-RS"/>
        </w:rPr>
        <w:t xml:space="preserve">првом кварталу 2015. је </w:t>
      </w:r>
      <w:r>
        <w:rPr>
          <w:rFonts w:ascii="Times New Roman" w:hAnsi="Times New Roman"/>
          <w:noProof/>
          <w:sz w:val="28"/>
          <w:szCs w:val="24"/>
          <w:lang w:val="sr-Cyrl-RS" w:eastAsia="sr-Latn-RS"/>
        </w:rPr>
        <w:t xml:space="preserve">смањење прекршаја у саобраћајној области прекршајне материје и </w:t>
      </w:r>
      <w:r w:rsidR="006138A0" w:rsidRPr="00E64244">
        <w:rPr>
          <w:rFonts w:ascii="Times New Roman" w:hAnsi="Times New Roman"/>
          <w:noProof/>
          <w:sz w:val="28"/>
          <w:szCs w:val="24"/>
          <w:lang w:val="sr-Cyrl-RS" w:eastAsia="sr-Latn-RS"/>
        </w:rPr>
        <w:t xml:space="preserve">значајно смањен број погинулих на српским путевима, и поред великих трагедија које су </w:t>
      </w:r>
      <w:r w:rsidR="00AD63CB">
        <w:rPr>
          <w:rFonts w:ascii="Times New Roman" w:hAnsi="Times New Roman"/>
          <w:noProof/>
          <w:sz w:val="28"/>
          <w:szCs w:val="24"/>
          <w:lang w:val="sr-Cyrl-RS" w:eastAsia="sr-Latn-RS"/>
        </w:rPr>
        <w:t>протекле године</w:t>
      </w:r>
      <w:r w:rsidR="006138A0" w:rsidRPr="00E64244">
        <w:rPr>
          <w:rFonts w:ascii="Times New Roman" w:hAnsi="Times New Roman"/>
          <w:noProof/>
          <w:sz w:val="28"/>
          <w:szCs w:val="24"/>
          <w:lang w:val="sr-Cyrl-RS" w:eastAsia="sr-Latn-RS"/>
        </w:rPr>
        <w:t xml:space="preserve"> потпуно непотребно однеле више младих живота</w:t>
      </w:r>
      <w:r w:rsidR="00AD63CB">
        <w:rPr>
          <w:rFonts w:ascii="Times New Roman" w:hAnsi="Times New Roman"/>
          <w:noProof/>
          <w:sz w:val="28"/>
          <w:szCs w:val="24"/>
          <w:lang w:val="sr-Cyrl-RS" w:eastAsia="sr-Latn-RS"/>
        </w:rPr>
        <w:t>.</w:t>
      </w:r>
      <w:r w:rsidR="006138A0" w:rsidRPr="00E64244">
        <w:rPr>
          <w:rFonts w:ascii="Times New Roman" w:hAnsi="Times New Roman"/>
          <w:noProof/>
          <w:sz w:val="28"/>
          <w:szCs w:val="24"/>
          <w:lang w:val="sr-Cyrl-RS" w:eastAsia="sr-Latn-RS"/>
        </w:rPr>
        <w:t xml:space="preserve"> Последњих 20 година, скоро 20 хиљада људи је настрадало, што је </w:t>
      </w:r>
      <w:r w:rsidR="00AD63CB">
        <w:rPr>
          <w:rFonts w:ascii="Times New Roman" w:hAnsi="Times New Roman"/>
          <w:noProof/>
          <w:sz w:val="28"/>
          <w:szCs w:val="24"/>
          <w:lang w:val="sr-Cyrl-RS" w:eastAsia="sr-Latn-RS"/>
        </w:rPr>
        <w:t>поређења ради једнако броју становника једног мањег града.</w:t>
      </w:r>
    </w:p>
    <w:p w:rsidR="00AD63CB" w:rsidRDefault="00AD63CB" w:rsidP="00E64244">
      <w:pPr>
        <w:jc w:val="both"/>
        <w:rPr>
          <w:rFonts w:ascii="Times New Roman" w:hAnsi="Times New Roman"/>
          <w:noProof/>
          <w:sz w:val="28"/>
          <w:szCs w:val="24"/>
          <w:lang w:val="en-US" w:eastAsia="sr-Latn-RS"/>
        </w:rPr>
      </w:pPr>
      <w:r>
        <w:rPr>
          <w:rFonts w:ascii="Times New Roman" w:hAnsi="Times New Roman"/>
          <w:noProof/>
          <w:sz w:val="28"/>
          <w:szCs w:val="24"/>
          <w:lang w:val="sr-Cyrl-RS" w:eastAsia="sr-Latn-RS"/>
        </w:rPr>
        <w:t xml:space="preserve">У вези резултата рада прекршајног правосуђа као целине, може се закључити протоком 12 месеци од примене новог Закона о прекршајима да је његова сврха целисходна и да су већој мери испуњена очекивања законских измена. Очекује се да ће се изменом и допуном осталих законских и подзаконских аката и њиховим усаглашавањем са новим ЗОП </w:t>
      </w:r>
      <w:r>
        <w:rPr>
          <w:rFonts w:ascii="Times New Roman" w:hAnsi="Times New Roman"/>
          <w:noProof/>
          <w:sz w:val="28"/>
          <w:szCs w:val="24"/>
          <w:lang w:val="sr-Cyrl-RS" w:eastAsia="sr-Latn-RS"/>
        </w:rPr>
        <w:lastRenderedPageBreak/>
        <w:t>постићи потпуност у примени ЗОПа што ће се свакако одразити и на ефикасност у раду прекршајног правосуђа.</w:t>
      </w:r>
    </w:p>
    <w:p w:rsidR="003E27BB" w:rsidRDefault="003E27BB" w:rsidP="00E64244">
      <w:pPr>
        <w:jc w:val="both"/>
        <w:rPr>
          <w:rFonts w:ascii="Times New Roman" w:hAnsi="Times New Roman"/>
          <w:noProof/>
          <w:sz w:val="28"/>
          <w:szCs w:val="24"/>
          <w:lang w:val="sr-Cyrl-RS" w:eastAsia="sr-Latn-RS"/>
        </w:rPr>
      </w:pPr>
      <w:r>
        <w:rPr>
          <w:rFonts w:ascii="Times New Roman" w:hAnsi="Times New Roman"/>
          <w:noProof/>
          <w:sz w:val="28"/>
          <w:szCs w:val="24"/>
          <w:lang w:val="sr-Cyrl-RS" w:eastAsia="sr-Latn-RS"/>
        </w:rPr>
        <w:t>Треба напоменути да је институт прекршајног налога допринео смањењу захтева за покретање прекршајног поступка у смислу растерећења судова и ефикаснијег решавања прекршаја, што се најбоље огледа у области саобраћаја где је у току посматраног периода издато 560.000 прекршајних налога и где су грађани већином искористили своје право и у складу са новим ЗОП у року од осам дана платили само половину новчане казне, док су потписивањем и слањем суду прекршајног налога грађани тражили заштиту суда у само 3854 случаја, што је око 1% од издатих прекршајних налога.</w:t>
      </w:r>
    </w:p>
    <w:p w:rsidR="002E665E" w:rsidRDefault="002E665E" w:rsidP="002E665E">
      <w:pPr>
        <w:jc w:val="both"/>
        <w:rPr>
          <w:rFonts w:ascii="Times New Roman" w:hAnsi="Times New Roman"/>
          <w:noProof/>
          <w:sz w:val="28"/>
          <w:szCs w:val="24"/>
          <w:lang w:val="sr-Cyrl-RS" w:eastAsia="sr-Latn-RS"/>
        </w:rPr>
      </w:pPr>
      <w:r>
        <w:rPr>
          <w:rFonts w:ascii="Times New Roman" w:hAnsi="Times New Roman"/>
          <w:noProof/>
          <w:sz w:val="28"/>
          <w:szCs w:val="24"/>
          <w:lang w:val="sr-Cyrl-RS" w:eastAsia="sr-Latn-RS"/>
        </w:rPr>
        <w:t xml:space="preserve">Из анализе рада прекршајних судова </w:t>
      </w:r>
      <w:r w:rsidR="003E27BB">
        <w:rPr>
          <w:rFonts w:ascii="Times New Roman" w:hAnsi="Times New Roman"/>
          <w:noProof/>
          <w:sz w:val="28"/>
          <w:szCs w:val="24"/>
          <w:lang w:val="sr-Cyrl-RS" w:eastAsia="sr-Latn-RS"/>
        </w:rPr>
        <w:t>у протеклој години можемо закључити да судови имају у раду 990.000 поступака, да је сваки од 504 судија у просеку задужен са 1964 предмета годишње</w:t>
      </w:r>
      <w:r w:rsidR="00636229">
        <w:rPr>
          <w:rFonts w:ascii="Times New Roman" w:hAnsi="Times New Roman"/>
          <w:noProof/>
          <w:sz w:val="28"/>
          <w:szCs w:val="24"/>
          <w:lang w:val="sr-Cyrl-RS" w:eastAsia="sr-Latn-RS"/>
        </w:rPr>
        <w:t>, односно 163 предмета месечно. Важно је рећи да је и поред смањеног броја поступајућих судија број нерешених предмета из прошле године мањи за око 30.000 у односу на посматрани период из 2013/2014 године.</w:t>
      </w:r>
    </w:p>
    <w:p w:rsidR="00636229" w:rsidRPr="00E64244" w:rsidRDefault="00636229" w:rsidP="002E665E">
      <w:pPr>
        <w:jc w:val="both"/>
        <w:rPr>
          <w:rFonts w:ascii="Times New Roman" w:hAnsi="Times New Roman"/>
          <w:noProof/>
          <w:sz w:val="28"/>
          <w:szCs w:val="24"/>
          <w:lang w:val="sr-Cyrl-RS" w:eastAsia="sr-Latn-RS"/>
        </w:rPr>
      </w:pPr>
      <w:r>
        <w:rPr>
          <w:rFonts w:ascii="Times New Roman" w:hAnsi="Times New Roman"/>
          <w:noProof/>
          <w:sz w:val="28"/>
          <w:szCs w:val="24"/>
          <w:lang w:val="sr-Cyrl-RS" w:eastAsia="sr-Latn-RS"/>
        </w:rPr>
        <w:t xml:space="preserve">Највећа очекивања, односе се на потпуну примену Система прекршајних судова (СИПРЕС) који би у наредном периоду требало да омогући не само бржи, ефикаснији и јефтинији поступак пред судом, већ и да омогући детаљније статистичке податке по материјама и на тај начин омогући дубље аналитичке извештаје који би могли да дају смернице у односу на неке будуће измене и допуне законских аката који садрже прекршајне одредбе, јер </w:t>
      </w:r>
      <w:r w:rsidR="007D2DFC">
        <w:rPr>
          <w:rFonts w:ascii="Times New Roman" w:hAnsi="Times New Roman"/>
          <w:noProof/>
          <w:sz w:val="28"/>
          <w:szCs w:val="24"/>
          <w:lang w:val="sr-Cyrl-RS" w:eastAsia="sr-Latn-RS"/>
        </w:rPr>
        <w:t>један од циљева</w:t>
      </w:r>
      <w:r>
        <w:rPr>
          <w:rFonts w:ascii="Times New Roman" w:hAnsi="Times New Roman"/>
          <w:noProof/>
          <w:sz w:val="28"/>
          <w:szCs w:val="24"/>
          <w:lang w:val="sr-Cyrl-RS" w:eastAsia="sr-Latn-RS"/>
        </w:rPr>
        <w:t xml:space="preserve"> казне је да починиоца прекршаја одврати од поновног чињења истог и подизање друштвене одговорности појединаца о штетности учињеног прекршаја</w:t>
      </w:r>
      <w:r w:rsidR="007D2DFC">
        <w:rPr>
          <w:rFonts w:ascii="Times New Roman" w:hAnsi="Times New Roman"/>
          <w:noProof/>
          <w:sz w:val="28"/>
          <w:szCs w:val="24"/>
          <w:lang w:val="sr-Cyrl-RS" w:eastAsia="sr-Latn-RS"/>
        </w:rPr>
        <w:t>, али и осталих грађана на који начин закони и прекршајне одредбе штите њихова права.</w:t>
      </w:r>
      <w:bookmarkStart w:id="0" w:name="_GoBack"/>
      <w:bookmarkEnd w:id="0"/>
    </w:p>
    <w:sectPr w:rsidR="00636229" w:rsidRPr="00E64244" w:rsidSect="00733370">
      <w:headerReference w:type="default" r:id="rId9"/>
      <w:footerReference w:type="default" r:id="rId10"/>
      <w:pgSz w:w="11906" w:h="16838"/>
      <w:pgMar w:top="993" w:right="1417" w:bottom="1417" w:left="141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928" w:rsidRDefault="005F0928" w:rsidP="00AD1304">
      <w:pPr>
        <w:spacing w:after="0" w:line="240" w:lineRule="auto"/>
      </w:pPr>
      <w:r>
        <w:separator/>
      </w:r>
    </w:p>
  </w:endnote>
  <w:endnote w:type="continuationSeparator" w:id="0">
    <w:p w:rsidR="005F0928" w:rsidRDefault="005F0928" w:rsidP="00AD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48" w:type="dxa"/>
      <w:tblInd w:w="-45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FE78A1" w:rsidTr="00733370">
      <w:tc>
        <w:tcPr>
          <w:tcW w:w="10348" w:type="dxa"/>
          <w:tcBorders>
            <w:top w:val="single" w:sz="12" w:space="0" w:color="C00000"/>
          </w:tcBorders>
        </w:tcPr>
        <w:p w:rsidR="00FE78A1" w:rsidRPr="00733370" w:rsidRDefault="00FE78A1" w:rsidP="00733370">
          <w:pPr>
            <w:rPr>
              <w:lang w:val="sr-Cyrl-RS"/>
            </w:rPr>
          </w:pPr>
          <w:r>
            <w:rPr>
              <w:color w:val="1F497D"/>
              <w:lang w:val="sr-Cyrl-RS"/>
            </w:rPr>
            <w:sym w:font="Wingdings 2" w:char="F028"/>
          </w:r>
          <w:r>
            <w:rPr>
              <w:color w:val="1F497D"/>
              <w:lang w:val="sr-Cyrl-RS"/>
            </w:rPr>
            <w:t xml:space="preserve"> </w:t>
          </w:r>
          <w:r w:rsidR="00BD7805">
            <w:rPr>
              <w:color w:val="1F497D"/>
            </w:rPr>
            <w:t xml:space="preserve">+38111 412 08 08 – </w:t>
          </w:r>
          <w:r w:rsidR="00BD7805">
            <w:rPr>
              <w:color w:val="1F497D"/>
              <w:lang w:val="sr-Cyrl-RS"/>
            </w:rPr>
            <w:t>ул. Књегиње Зорке 4</w:t>
          </w:r>
          <w:r w:rsidR="00733370">
            <w:rPr>
              <w:color w:val="1F497D"/>
              <w:lang w:val="sr-Cyrl-RS"/>
            </w:rPr>
            <w:t xml:space="preserve"> - </w:t>
          </w:r>
          <w:r w:rsidR="00733370">
            <w:rPr>
              <w:color w:val="1F497D"/>
            </w:rPr>
            <w:t xml:space="preserve">11000 </w:t>
          </w:r>
          <w:r w:rsidR="00733370">
            <w:rPr>
              <w:color w:val="1F497D"/>
              <w:lang w:val="sr-Cyrl-RS"/>
            </w:rPr>
            <w:t xml:space="preserve">Београд - </w:t>
          </w:r>
          <w:hyperlink r:id="rId1" w:history="1">
            <w:r w:rsidR="00733370">
              <w:rPr>
                <w:rStyle w:val="Hyperlink"/>
              </w:rPr>
              <w:t>www.usudprek.org.rs</w:t>
            </w:r>
          </w:hyperlink>
          <w:r w:rsidR="00733370">
            <w:rPr>
              <w:color w:val="1F497D"/>
              <w:lang w:val="sr-Cyrl-RS"/>
            </w:rPr>
            <w:t xml:space="preserve"> - </w:t>
          </w:r>
          <w:hyperlink r:id="rId2" w:history="1">
            <w:r w:rsidR="00733370">
              <w:rPr>
                <w:rStyle w:val="Hyperlink"/>
              </w:rPr>
              <w:t>inf</w:t>
            </w:r>
            <w:r w:rsidR="00733370">
              <w:rPr>
                <w:rStyle w:val="Hyperlink"/>
                <w:lang w:val="sr-Cyrl-RS"/>
              </w:rPr>
              <w:t>о</w:t>
            </w:r>
            <w:r w:rsidR="00BD7805">
              <w:rPr>
                <w:rStyle w:val="Hyperlink"/>
              </w:rPr>
              <w:t>@usudp</w:t>
            </w:r>
            <w:r w:rsidR="00733370">
              <w:rPr>
                <w:rStyle w:val="Hyperlink"/>
              </w:rPr>
              <w:t>rek.org.rs</w:t>
            </w:r>
          </w:hyperlink>
        </w:p>
      </w:tc>
    </w:tr>
  </w:tbl>
  <w:p w:rsidR="00FE78A1" w:rsidRDefault="00FE78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928" w:rsidRDefault="005F0928" w:rsidP="00AD1304">
      <w:pPr>
        <w:spacing w:after="0" w:line="240" w:lineRule="auto"/>
      </w:pPr>
      <w:r>
        <w:separator/>
      </w:r>
    </w:p>
  </w:footnote>
  <w:footnote w:type="continuationSeparator" w:id="0">
    <w:p w:rsidR="005F0928" w:rsidRDefault="005F0928" w:rsidP="00AD1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085" w:type="dxa"/>
      <w:tblBorders>
        <w:bottom w:val="single" w:sz="12" w:space="0" w:color="C00000"/>
      </w:tblBorders>
      <w:tblLook w:val="04A0" w:firstRow="1" w:lastRow="0" w:firstColumn="1" w:lastColumn="0" w:noHBand="0" w:noVBand="1"/>
    </w:tblPr>
    <w:tblGrid>
      <w:gridCol w:w="3639"/>
    </w:tblGrid>
    <w:tr w:rsidR="00AD1304" w:rsidRPr="001B17BB" w:rsidTr="00A7076C">
      <w:trPr>
        <w:trHeight w:val="2305"/>
      </w:trPr>
      <w:tc>
        <w:tcPr>
          <w:tcW w:w="3639" w:type="dxa"/>
          <w:tcBorders>
            <w:bottom w:val="nil"/>
          </w:tcBorders>
          <w:shd w:val="clear" w:color="auto" w:fill="auto"/>
        </w:tcPr>
        <w:p w:rsidR="00AD1304" w:rsidRDefault="00733370" w:rsidP="00FE78A1">
          <w:pPr>
            <w:pStyle w:val="Header"/>
            <w:jc w:val="center"/>
          </w:pPr>
          <w:r>
            <w:rPr>
              <w:noProof/>
              <w:lang w:val="en-US"/>
            </w:rPr>
            <w:drawing>
              <wp:inline distT="0" distB="0" distL="0" distR="0" wp14:anchorId="0E51319F" wp14:editId="5BE95C54">
                <wp:extent cx="1285240" cy="1285240"/>
                <wp:effectExtent l="0" t="0" r="0" b="0"/>
                <wp:docPr id="89" name="Picture 89" descr="C:\Users\User\Desktop\USPSRS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User\Desktop\USPSRS -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a:ln>
                          <a:noFill/>
                        </a:ln>
                      </pic:spPr>
                    </pic:pic>
                  </a:graphicData>
                </a:graphic>
              </wp:inline>
            </w:drawing>
          </w:r>
        </w:p>
        <w:p w:rsidR="00FE78A1" w:rsidRPr="001B17BB" w:rsidRDefault="00FE78A1" w:rsidP="00FE78A1">
          <w:pPr>
            <w:pStyle w:val="Header"/>
            <w:jc w:val="center"/>
          </w:pPr>
        </w:p>
      </w:tc>
    </w:tr>
    <w:tr w:rsidR="00AD1304" w:rsidRPr="001B17BB" w:rsidTr="00A7076C">
      <w:trPr>
        <w:trHeight w:val="559"/>
      </w:trPr>
      <w:tc>
        <w:tcPr>
          <w:tcW w:w="3639" w:type="dxa"/>
          <w:tcBorders>
            <w:bottom w:val="single" w:sz="12" w:space="0" w:color="C00000"/>
          </w:tcBorders>
          <w:shd w:val="clear" w:color="auto" w:fill="auto"/>
        </w:tcPr>
        <w:p w:rsidR="00AD1304" w:rsidRPr="00FE78A1" w:rsidRDefault="00FE78A1" w:rsidP="001B17BB">
          <w:pPr>
            <w:pStyle w:val="Header"/>
            <w:jc w:val="center"/>
            <w:rPr>
              <w:rFonts w:ascii="Myriad Pro Cond" w:hAnsi="Myriad Pro Cond"/>
              <w:sz w:val="24"/>
              <w:lang w:val="sr-Cyrl-RS"/>
            </w:rPr>
          </w:pPr>
          <w:r>
            <w:rPr>
              <w:rFonts w:ascii="Myriad Pro Cond" w:hAnsi="Myriad Pro Cond"/>
              <w:sz w:val="24"/>
              <w:lang w:val="sr-Cyrl-RS"/>
            </w:rPr>
            <w:t>УДРУЖЕЊЕ СУДИЈА ПРЕКРШАЈНИХ СУДОВА</w:t>
          </w:r>
        </w:p>
      </w:tc>
    </w:tr>
    <w:tr w:rsidR="00AD1304" w:rsidRPr="001B17BB" w:rsidTr="00A7076C">
      <w:trPr>
        <w:trHeight w:val="559"/>
      </w:trPr>
      <w:tc>
        <w:tcPr>
          <w:tcW w:w="3639" w:type="dxa"/>
          <w:tcBorders>
            <w:top w:val="single" w:sz="12" w:space="0" w:color="C00000"/>
            <w:bottom w:val="nil"/>
          </w:tcBorders>
          <w:shd w:val="clear" w:color="auto" w:fill="auto"/>
        </w:tcPr>
        <w:p w:rsidR="00AD1304" w:rsidRPr="001B17BB" w:rsidRDefault="00FE78A1" w:rsidP="001B17BB">
          <w:pPr>
            <w:pStyle w:val="Header"/>
            <w:jc w:val="center"/>
            <w:rPr>
              <w:rFonts w:ascii="Myriad Pro Cond" w:hAnsi="Myriad Pro Cond"/>
              <w:sz w:val="24"/>
              <w:lang w:val="sr-Cyrl-RS"/>
            </w:rPr>
          </w:pPr>
          <w:r>
            <w:rPr>
              <w:rFonts w:ascii="Myriad Pro Cond" w:hAnsi="Myriad Pro Cond"/>
              <w:sz w:val="24"/>
              <w:lang w:val="sr-Cyrl-RS"/>
            </w:rPr>
            <w:t>Р Е П У Б Л И К Е  С Р Б И Ј Е</w:t>
          </w:r>
        </w:p>
      </w:tc>
    </w:tr>
  </w:tbl>
  <w:p w:rsidR="00AD1304" w:rsidRPr="00AD1304" w:rsidRDefault="00AD1304" w:rsidP="00AD1304">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A3422"/>
    <w:multiLevelType w:val="hybridMultilevel"/>
    <w:tmpl w:val="8E8E641A"/>
    <w:lvl w:ilvl="0" w:tplc="C12C5822">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0E586B88"/>
    <w:multiLevelType w:val="hybridMultilevel"/>
    <w:tmpl w:val="EAEE7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8A1"/>
    <w:rsid w:val="00005853"/>
    <w:rsid w:val="000F7E50"/>
    <w:rsid w:val="00113E39"/>
    <w:rsid w:val="00127134"/>
    <w:rsid w:val="001416BC"/>
    <w:rsid w:val="0015586B"/>
    <w:rsid w:val="001B17BB"/>
    <w:rsid w:val="00202DF5"/>
    <w:rsid w:val="002146E5"/>
    <w:rsid w:val="0025122A"/>
    <w:rsid w:val="002E665E"/>
    <w:rsid w:val="002F43B0"/>
    <w:rsid w:val="002F6065"/>
    <w:rsid w:val="0030526B"/>
    <w:rsid w:val="00324FB5"/>
    <w:rsid w:val="003D4A13"/>
    <w:rsid w:val="003D6240"/>
    <w:rsid w:val="003E27BB"/>
    <w:rsid w:val="003F0153"/>
    <w:rsid w:val="003F39A1"/>
    <w:rsid w:val="00464D0B"/>
    <w:rsid w:val="00506B22"/>
    <w:rsid w:val="00597581"/>
    <w:rsid w:val="005F0928"/>
    <w:rsid w:val="006138A0"/>
    <w:rsid w:val="00636229"/>
    <w:rsid w:val="00695942"/>
    <w:rsid w:val="006B3A30"/>
    <w:rsid w:val="006B47AA"/>
    <w:rsid w:val="006C6BB8"/>
    <w:rsid w:val="006E268C"/>
    <w:rsid w:val="00733370"/>
    <w:rsid w:val="00733438"/>
    <w:rsid w:val="00782D25"/>
    <w:rsid w:val="007D2DFC"/>
    <w:rsid w:val="0084614B"/>
    <w:rsid w:val="00870FDE"/>
    <w:rsid w:val="008877E3"/>
    <w:rsid w:val="008A47B5"/>
    <w:rsid w:val="008F1036"/>
    <w:rsid w:val="00987215"/>
    <w:rsid w:val="009C2797"/>
    <w:rsid w:val="009D3DC6"/>
    <w:rsid w:val="00A46C3A"/>
    <w:rsid w:val="00A7076C"/>
    <w:rsid w:val="00AC79E7"/>
    <w:rsid w:val="00AD1304"/>
    <w:rsid w:val="00AD63CB"/>
    <w:rsid w:val="00BD7805"/>
    <w:rsid w:val="00C94FF0"/>
    <w:rsid w:val="00CB68A3"/>
    <w:rsid w:val="00D5067F"/>
    <w:rsid w:val="00DA4013"/>
    <w:rsid w:val="00DE5FAB"/>
    <w:rsid w:val="00E234C1"/>
    <w:rsid w:val="00E64244"/>
    <w:rsid w:val="00E93EF1"/>
    <w:rsid w:val="00EA2905"/>
    <w:rsid w:val="00EE0137"/>
    <w:rsid w:val="00F373BB"/>
    <w:rsid w:val="00F6625D"/>
    <w:rsid w:val="00FE78A1"/>
    <w:rsid w:val="00FF1F7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3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1304"/>
  </w:style>
  <w:style w:type="paragraph" w:styleId="Footer">
    <w:name w:val="footer"/>
    <w:basedOn w:val="Normal"/>
    <w:link w:val="FooterChar"/>
    <w:uiPriority w:val="99"/>
    <w:unhideWhenUsed/>
    <w:rsid w:val="00AD13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1304"/>
  </w:style>
  <w:style w:type="table" w:styleId="TableGrid">
    <w:name w:val="Table Grid"/>
    <w:basedOn w:val="TableNormal"/>
    <w:uiPriority w:val="59"/>
    <w:rsid w:val="00AD1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3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1304"/>
    <w:rPr>
      <w:rFonts w:ascii="Tahoma" w:hAnsi="Tahoma" w:cs="Tahoma"/>
      <w:sz w:val="16"/>
      <w:szCs w:val="16"/>
    </w:rPr>
  </w:style>
  <w:style w:type="paragraph" w:styleId="ListParagraph">
    <w:name w:val="List Paragraph"/>
    <w:basedOn w:val="Normal"/>
    <w:uiPriority w:val="34"/>
    <w:qFormat/>
    <w:rsid w:val="006B47AA"/>
    <w:pPr>
      <w:ind w:left="720"/>
      <w:contextualSpacing/>
    </w:pPr>
  </w:style>
  <w:style w:type="character" w:styleId="Hyperlink">
    <w:name w:val="Hyperlink"/>
    <w:uiPriority w:val="99"/>
    <w:unhideWhenUsed/>
    <w:rsid w:val="007333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3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1304"/>
  </w:style>
  <w:style w:type="paragraph" w:styleId="Footer">
    <w:name w:val="footer"/>
    <w:basedOn w:val="Normal"/>
    <w:link w:val="FooterChar"/>
    <w:uiPriority w:val="99"/>
    <w:unhideWhenUsed/>
    <w:rsid w:val="00AD13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1304"/>
  </w:style>
  <w:style w:type="table" w:styleId="TableGrid">
    <w:name w:val="Table Grid"/>
    <w:basedOn w:val="TableNormal"/>
    <w:uiPriority w:val="59"/>
    <w:rsid w:val="00AD1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3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1304"/>
    <w:rPr>
      <w:rFonts w:ascii="Tahoma" w:hAnsi="Tahoma" w:cs="Tahoma"/>
      <w:sz w:val="16"/>
      <w:szCs w:val="16"/>
    </w:rPr>
  </w:style>
  <w:style w:type="paragraph" w:styleId="ListParagraph">
    <w:name w:val="List Paragraph"/>
    <w:basedOn w:val="Normal"/>
    <w:uiPriority w:val="34"/>
    <w:qFormat/>
    <w:rsid w:val="006B47AA"/>
    <w:pPr>
      <w:ind w:left="720"/>
      <w:contextualSpacing/>
    </w:pPr>
  </w:style>
  <w:style w:type="character" w:styleId="Hyperlink">
    <w:name w:val="Hyperlink"/>
    <w:uiPriority w:val="99"/>
    <w:unhideWhenUsed/>
    <w:rsid w:val="007333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1086;@usudorek.org.rs" TargetMode="External"/><Relationship Id="rId1" Type="http://schemas.openxmlformats.org/officeDocument/2006/relationships/hyperlink" Target="http://www.usudprek.org.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Saop&#353;tenja\Saop&#353;tenje%20-%20Gradjani%20ne&#263;e%20morati%20da%20idu%20u%20zatv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A1FE3-0BCC-4B41-931F-B5F07AEA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Saopštenje - Gradjani neće morati da idu u zatvor</Template>
  <TotalTime>0</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dc:creator>
  <cp:lastModifiedBy>Aleksandar Ilic</cp:lastModifiedBy>
  <cp:revision>2</cp:revision>
  <cp:lastPrinted>2013-07-26T12:54:00Z</cp:lastPrinted>
  <dcterms:created xsi:type="dcterms:W3CDTF">2015-04-15T14:27:00Z</dcterms:created>
  <dcterms:modified xsi:type="dcterms:W3CDTF">2015-04-15T14:27:00Z</dcterms:modified>
</cp:coreProperties>
</file>